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BC" w:rsidRPr="008159DD" w:rsidRDefault="00696265" w:rsidP="008159DD">
      <w:pPr>
        <w:widowControl/>
        <w:jc w:val="center"/>
        <w:rPr>
          <w:rFonts w:ascii="標楷體" w:eastAsia="標楷體"/>
          <w:color w:val="000000" w:themeColor="text1"/>
          <w:spacing w:val="-6"/>
          <w:sz w:val="28"/>
          <w:szCs w:val="28"/>
        </w:rPr>
      </w:pPr>
      <w:r w:rsidRPr="00696265">
        <w:rPr>
          <w:rFonts w:ascii="標楷體" w:eastAsia="標楷體"/>
          <w:b/>
          <w:bCs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3" o:spid="_x0000_s1032" type="#_x0000_t202" style="position:absolute;left:0;text-align:left;margin-left:-28.5pt;margin-top:-6.75pt;width:68.25pt;height:49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" fillcolor="window" stroked="f" strokeweight=".5pt">
            <v:textbox>
              <w:txbxContent>
                <w:p w:rsidR="00A55E4A" w:rsidRPr="001D3E74" w:rsidRDefault="00A55E4A" w:rsidP="00A55E4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36"/>
                    </w:rPr>
                  </w:pPr>
                  <w:r w:rsidRPr="001D3E74">
                    <w:rPr>
                      <w:rFonts w:ascii="Wingdings 2" w:eastAsia="標楷體" w:hAnsi="Wingdings 2"/>
                      <w:b/>
                      <w:color w:val="FF0000"/>
                      <w:sz w:val="36"/>
                    </w:rPr>
                    <w:sym w:font="Wingdings 2" w:char="F0A3"/>
                  </w:r>
                  <w:r w:rsidRPr="001D3E74">
                    <w:rPr>
                      <w:rFonts w:ascii="標楷體" w:eastAsia="標楷體" w:hAnsi="標楷體" w:hint="eastAsia"/>
                      <w:b/>
                      <w:color w:val="FF0000"/>
                      <w:sz w:val="36"/>
                    </w:rPr>
                    <w:t>新制</w:t>
                  </w:r>
                </w:p>
                <w:p w:rsidR="00A55E4A" w:rsidRPr="001D3E74" w:rsidRDefault="00A55E4A" w:rsidP="00A55E4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36"/>
                    </w:rPr>
                  </w:pPr>
                  <w:r w:rsidRPr="001D3E74">
                    <w:rPr>
                      <w:rFonts w:ascii="標楷體" w:eastAsia="標楷體" w:hAnsi="標楷體"/>
                      <w:b/>
                      <w:color w:val="FF0000"/>
                      <w:sz w:val="36"/>
                    </w:rPr>
                    <w:sym w:font="Wingdings 2" w:char="F0A3"/>
                  </w:r>
                  <w:r w:rsidRPr="001D3E74">
                    <w:rPr>
                      <w:rFonts w:ascii="標楷體" w:eastAsia="標楷體" w:hAnsi="標楷體" w:hint="eastAsia"/>
                      <w:b/>
                      <w:color w:val="FF0000"/>
                      <w:sz w:val="36"/>
                    </w:rPr>
                    <w:t>舊制</w:t>
                  </w:r>
                </w:p>
              </w:txbxContent>
            </v:textbox>
            <w10:wrap anchorx="margin"/>
          </v:shape>
        </w:pict>
      </w:r>
      <w:r w:rsidRPr="00696265">
        <w:rPr>
          <w:rFonts w:ascii="標楷體" w:eastAsia="標楷體" w:hAnsi="標楷體"/>
          <w:b/>
          <w:noProof/>
          <w:sz w:val="42"/>
          <w:szCs w:val="42"/>
        </w:rPr>
        <w:pict>
          <v:shape id="文字方塊 12" o:spid="_x0000_s1033" type="#_x0000_t202" style="position:absolute;left:0;text-align:left;margin-left:401.25pt;margin-top:-34.5pt;width:56.25pt;height:2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" filled="f" strokeweight=".5pt">
            <v:textbox>
              <w:txbxContent>
                <w:p w:rsidR="00721E57" w:rsidRPr="001D198B" w:rsidRDefault="00721E57" w:rsidP="00721E57">
                  <w:pPr>
                    <w:spacing w:line="34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D198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</w:t>
                  </w:r>
                  <w:r w:rsidR="0077750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錄</w:t>
                  </w:r>
                  <w:r w:rsidR="000C432B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CA0E54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 xml:space="preserve">   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退撫</w:t>
      </w:r>
      <w:r w:rsidR="00746A49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給與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專戶開戶注意事項</w:t>
      </w:r>
      <w:r w:rsidR="00A55E4A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（新、舊制請分別填寫</w:t>
      </w:r>
      <w:r w:rsidR="004578DB" w:rsidRPr="00E81671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）</w:t>
      </w:r>
    </w:p>
    <w:p w:rsidR="005D2ABC" w:rsidRPr="00C009E4" w:rsidRDefault="005D2ABC" w:rsidP="00696265">
      <w:pPr>
        <w:autoSpaceDE w:val="0"/>
        <w:autoSpaceDN w:val="0"/>
        <w:adjustRightInd w:val="0"/>
        <w:spacing w:beforeLines="5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8F06E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一、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領受人親自辦理開戶應攜帶資料</w:t>
      </w:r>
    </w:p>
    <w:p w:rsidR="002F4D85" w:rsidRDefault="008F06ED" w:rsidP="002F4D85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機關證明部分：</w:t>
      </w:r>
    </w:p>
    <w:p w:rsidR="005D2ABC" w:rsidRPr="00C009E4" w:rsidRDefault="00FD418B" w:rsidP="00980195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新申請退撫給與之領受人：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</w:t>
      </w:r>
      <w:r w:rsidR="008164F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領受人身分證正本及第二身分證明文件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如附有相片之健保卡、駕照、護照等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領受人印章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2F4D85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本注意事項</w:t>
      </w:r>
      <w:r w:rsidR="005D2ABC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。</w:t>
      </w:r>
    </w:p>
    <w:p w:rsidR="005D2ABC" w:rsidRPr="00C009E4" w:rsidRDefault="005D2ABC" w:rsidP="00696265">
      <w:pPr>
        <w:autoSpaceDE w:val="0"/>
        <w:autoSpaceDN w:val="0"/>
        <w:adjustRightInd w:val="0"/>
        <w:spacing w:beforeLines="5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二、開戶作業流程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請親自至</w:t>
      </w:r>
      <w:r w:rsidR="006F0EC1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○○○銀行</w:t>
      </w:r>
      <w:r w:rsidR="00EB2CC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0932D0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其所屬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各地分行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（專戶代付銀行）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辦理開戶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；</w:t>
      </w:r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如領受人因受傷或疾病，致行動困難不能親自開戶者，得由發放機關覈實出具證明，委託他人辦理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（請攜帶</w:t>
      </w:r>
      <w:r w:rsidR="00E1391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機關證明、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委託人與受託人之身分證明文件及授權書）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請告知銀行服務人員需辦理新制(或舊制)退撫給與專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戶開戶，並出示證明文件（「公務人員退休撫卹基金管理委員會書函」、「</w:t>
      </w:r>
      <w:r w:rsidR="00AF0B13" w:rsidRP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舊制退撫給與改存專戶申請書暨發放機關證明書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」或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「退撫給與專戶申請書暨最後服務機關證明書」）及本注意事項。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領取退撫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給與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專戶存摺</w:t>
      </w:r>
      <w:r w:rsidR="005D3ED5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時，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請確認存摺封面是否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標示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新制(或舊制)退撫給與專戶或同義文句」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字樣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5D2ABC" w:rsidP="00696265">
      <w:pPr>
        <w:autoSpaceDE w:val="0"/>
        <w:autoSpaceDN w:val="0"/>
        <w:adjustRightInd w:val="0"/>
        <w:spacing w:beforeLines="5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三、退撫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="002D6A09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專戶之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性質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專戶內之存款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不得作為抵銷、扣押、供擔保或強制執行之標的。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二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專戶僅供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存入退休</w:t>
      </w:r>
      <w:r w:rsidR="000C727A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（職）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金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、撫慰金、撫卹金及資遣給與等退撫法規保障之退撫給與，不得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存(匯)入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其他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任何款項。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三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專戶內存款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依開戶銀行規定計息</w:t>
      </w:r>
      <w:r w:rsidR="00053E48" w:rsidRPr="00C009E4">
        <w:rPr>
          <w:rFonts w:ascii="標楷體" w:eastAsia="標楷體" w:hAnsi="標楷體" w:hint="eastAsia"/>
          <w:sz w:val="28"/>
          <w:szCs w:val="28"/>
        </w:rPr>
        <w:t>，</w:t>
      </w:r>
      <w:r w:rsidR="0040437D" w:rsidRPr="00C009E4">
        <w:rPr>
          <w:rFonts w:ascii="標楷體" w:eastAsia="標楷體" w:hAnsi="標楷體" w:hint="eastAsia"/>
          <w:sz w:val="28"/>
          <w:szCs w:val="28"/>
        </w:rPr>
        <w:t>但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不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得</w:t>
      </w:r>
      <w:r w:rsidR="00680C2E">
        <w:rPr>
          <w:rFonts w:ascii="標楷體" w:eastAsia="標楷體" w:hAnsi="標楷體" w:hint="eastAsia"/>
          <w:sz w:val="28"/>
          <w:szCs w:val="28"/>
        </w:rPr>
        <w:t>以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低於開戶銀行活期儲蓄存款之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牌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告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利率計息。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四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戶內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存款</w:t>
      </w:r>
      <w:r w:rsidR="006F0EC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自由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分次提領，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提領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轉入其他帳戶或定期存款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之後</w:t>
      </w:r>
      <w:r w:rsidR="00ED0ED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，該筆存款即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不受公務人員退休資遣撫卹法及政務人員退職撫卹條例</w:t>
      </w:r>
      <w:r w:rsidR="002D6A09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0123DE" w:rsidRP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不得作為抵銷、扣押、供擔保或強制執行之標的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之保障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五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退撫給與領受人有冒領或溢領情事者，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退撫給與</w:t>
      </w:r>
      <w:r w:rsidR="00053E48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之支</w:t>
      </w:r>
      <w:r w:rsidR="001405D7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給或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發放機關</w:t>
      </w:r>
      <w:r w:rsidR="001405D7" w:rsidRPr="00C009E4">
        <w:rPr>
          <w:rFonts w:ascii="標楷體" w:eastAsia="標楷體" w:hAnsi="標楷體" w:hint="eastAsia"/>
          <w:b/>
          <w:sz w:val="28"/>
          <w:szCs w:val="28"/>
        </w:rPr>
        <w:t>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就其冒領或溢領之款項，書面通知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開戶銀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行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逕自專戶扣款，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覈實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收回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冒領或溢領之款項，不受上開（一）有關專戶內存款不得作為抵銷、扣押、供擔保或強制執行之標的之限制</w:t>
      </w:r>
      <w:r w:rsidR="00896BE1" w:rsidRPr="00C009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5D2ABC" w:rsidRPr="00C009E4" w:rsidRDefault="008F06ED" w:rsidP="00344208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4D34BF" w:rsidRPr="004D34BF">
        <w:rPr>
          <w:rFonts w:ascii="標楷體" w:eastAsia="標楷體" w:hAnsi="標楷體" w:cs="新細明體" w:hint="eastAsia"/>
          <w:kern w:val="0"/>
          <w:sz w:val="28"/>
          <w:szCs w:val="28"/>
        </w:rPr>
        <w:t>退撫給與領受人</w:t>
      </w:r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開立退撫給與專戶後，於1年內未有退撫給與存入者，由最後服務機關或發放機關查證事實後，通知專戶開戶銀行逕行辦理專戶銷戶並通知當事人。</w:t>
      </w:r>
    </w:p>
    <w:p w:rsidR="00791738" w:rsidRPr="00C009E4" w:rsidRDefault="005D2ABC" w:rsidP="00696265">
      <w:pPr>
        <w:autoSpaceDE w:val="0"/>
        <w:autoSpaceDN w:val="0"/>
        <w:adjustRightInd w:val="0"/>
        <w:spacing w:beforeLines="50" w:line="400" w:lineRule="exact"/>
        <w:ind w:leftChars="-177" w:left="212" w:right="-1" w:hangingChars="199" w:hanging="637"/>
        <w:jc w:val="both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四、本人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（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簽名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）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知悉上開退撫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專戶性質，並同意配合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退撫給與</w:t>
      </w:r>
      <w:r w:rsidR="00B6427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之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發放機關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及開戶銀行相關規定辦理。</w:t>
      </w:r>
    </w:p>
    <w:p w:rsidR="00C009E4" w:rsidRDefault="00C009E4" w:rsidP="00CD7E01">
      <w:pPr>
        <w:autoSpaceDE w:val="0"/>
        <w:autoSpaceDN w:val="0"/>
        <w:adjustRightInd w:val="0"/>
        <w:spacing w:line="400" w:lineRule="exact"/>
        <w:ind w:leftChars="-59" w:left="707" w:hangingChars="303" w:hanging="849"/>
        <w:jc w:val="both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</w:p>
    <w:p w:rsidR="00CD7E01" w:rsidRPr="00C05E25" w:rsidRDefault="00CD7E01" w:rsidP="00857DC5">
      <w:pPr>
        <w:autoSpaceDE w:val="0"/>
        <w:autoSpaceDN w:val="0"/>
        <w:adjustRightInd w:val="0"/>
        <w:snapToGrid w:val="0"/>
        <w:ind w:leftChars="-178" w:left="303" w:right="-1" w:hangingChars="304" w:hanging="730"/>
        <w:jc w:val="both"/>
        <w:rPr>
          <w:rFonts w:ascii="標楷體" w:eastAsia="標楷體" w:hAnsi="標楷體" w:cs="新細明體"/>
          <w:color w:val="FF0000"/>
          <w:kern w:val="0"/>
          <w:szCs w:val="24"/>
          <w:lang w:val="zh-TW"/>
        </w:rPr>
      </w:pPr>
      <w:r w:rsidRPr="00C05E25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備註：</w:t>
      </w:r>
      <w:r w:rsidR="00007E0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本注意事項二、開戶作業流程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（一）之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銀行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名稱，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於新制年資之退撫給與，請填寫臺灣銀行、合作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金庫商業銀行或第一商業銀行；於舊制年資之退撫給與，請依主管機</w:t>
      </w:r>
      <w:r w:rsidR="00C640B0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簽立專戶代付合約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之金融機構填寫。</w:t>
      </w:r>
    </w:p>
    <w:p w:rsidR="00CD7E01" w:rsidRDefault="00CD7E01" w:rsidP="00696265">
      <w:pPr>
        <w:autoSpaceDE w:val="0"/>
        <w:autoSpaceDN w:val="0"/>
        <w:adjustRightInd w:val="0"/>
        <w:spacing w:beforeLines="50" w:line="400" w:lineRule="exact"/>
        <w:ind w:leftChars="-177" w:left="212" w:rightChars="-316" w:right="-758" w:hangingChars="199" w:hanging="637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:rsidR="00A038A8" w:rsidRDefault="00720A7D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  <w:br w:type="page"/>
      </w:r>
    </w:p>
    <w:tbl>
      <w:tblPr>
        <w:tblpPr w:leftFromText="180" w:rightFromText="180" w:vertAnchor="text" w:horzAnchor="margin" w:tblpY="55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879"/>
        <w:gridCol w:w="1915"/>
        <w:gridCol w:w="1252"/>
        <w:gridCol w:w="2817"/>
      </w:tblGrid>
      <w:tr w:rsidR="00CB3A2C" w:rsidRPr="00A038A8" w:rsidTr="00B50FF6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領受人員資料</w:t>
            </w:r>
          </w:p>
        </w:tc>
      </w:tr>
      <w:tr w:rsidR="00CB3A2C" w:rsidRPr="00A038A8" w:rsidTr="00B50FF6">
        <w:trPr>
          <w:trHeight w:val="38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最後服務</w:t>
            </w:r>
          </w:p>
          <w:p w:rsidR="00CB3A2C" w:rsidRPr="00A038A8" w:rsidRDefault="00CB3A2C" w:rsidP="00CB3A2C">
            <w:pPr>
              <w:spacing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37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身分別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公務人員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政務人員    </w:t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教育人員</w:t>
            </w:r>
          </w:p>
        </w:tc>
      </w:tr>
      <w:tr w:rsidR="00CB3A2C" w:rsidRPr="00A038A8" w:rsidTr="00B50FF6">
        <w:trPr>
          <w:trHeight w:val="138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65D3" w:rsidRDefault="00CB3A2C" w:rsidP="009765D3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□退休金□退職酬勞金</w:t>
            </w:r>
            <w:r w:rsidR="0039788C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□離職儲金</w:t>
            </w: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□一次給與</w:t>
            </w:r>
          </w:p>
          <w:p w:rsidR="00CB3A2C" w:rsidRPr="009765D3" w:rsidRDefault="009765D3" w:rsidP="009765D3">
            <w:pPr>
              <w:snapToGrid w:val="0"/>
              <w:spacing w:line="400" w:lineRule="exact"/>
              <w:ind w:leftChars="-45" w:left="-108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□遺屬一次金 (一次撫慰金)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□遺屬年金(月撫慰金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="00CB3A2C" w:rsidRPr="00A038A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□撫卹金  □資遣給與□退撫基金費用本息 □其他</w:t>
            </w:r>
          </w:p>
        </w:tc>
      </w:tr>
      <w:tr w:rsidR="00CB3A2C" w:rsidRPr="00A038A8" w:rsidTr="00B50FF6">
        <w:trPr>
          <w:trHeight w:val="4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生效日期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54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CB3A2C" w:rsidRPr="00A038A8" w:rsidRDefault="00CB3A2C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(□</w:t>
            </w:r>
            <w:r w:rsidRPr="00A038A8"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3A2C" w:rsidRPr="00A038A8" w:rsidRDefault="00CB3A2C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8D4509" w:rsidRPr="00A038A8" w:rsidTr="00B50FF6">
        <w:trPr>
          <w:trHeight w:val="52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509" w:rsidRPr="00A038A8" w:rsidRDefault="008D4509" w:rsidP="00CB3A2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4509" w:rsidRPr="00A038A8" w:rsidRDefault="008D4509" w:rsidP="00CB3A2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CB3A2C" w:rsidRPr="00A038A8" w:rsidTr="00B50FF6">
        <w:trPr>
          <w:trHeight w:val="7725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3A2C" w:rsidRPr="00A038A8" w:rsidRDefault="00696265" w:rsidP="00CB3A2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6265"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  <w:pict>
                <v:shape id="文字方塊 18" o:spid="_x0000_s1034" type="#_x0000_t202" style="position:absolute;left:0;text-align:left;margin-left:248.25pt;margin-top:2.4pt;width:203.25pt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" filled="f" stroked="f" strokeweight=".5pt">
                  <v:textbox>
                    <w:txbxContent>
                      <w:p w:rsidR="00CB3A2C" w:rsidRPr="001D3E74" w:rsidRDefault="00CB3A2C" w:rsidP="00CB3A2C">
                        <w:pPr>
                          <w:spacing w:line="220" w:lineRule="exact"/>
                          <w:jc w:val="distribute"/>
                          <w:rPr>
                            <w:rFonts w:ascii="標楷體" w:eastAsia="標楷體" w:hAnsi="標楷體"/>
                            <w:spacing w:val="-18"/>
                            <w:sz w:val="22"/>
                          </w:rPr>
                        </w:pPr>
                        <w:r w:rsidRPr="001D3E74">
                          <w:rPr>
                            <w:rFonts w:ascii="標楷體" w:eastAsia="標楷體" w:hAnsi="標楷體" w:hint="eastAsia"/>
                            <w:spacing w:val="-18"/>
                            <w:sz w:val="22"/>
                          </w:rPr>
                          <w:t>□公務人員退休資遣撫卹法第69條</w:t>
                        </w:r>
                      </w:p>
                      <w:p w:rsidR="00CB3A2C" w:rsidRPr="001D3E74" w:rsidRDefault="00CB3A2C" w:rsidP="00CB3A2C">
                        <w:pPr>
                          <w:spacing w:line="220" w:lineRule="exact"/>
                          <w:jc w:val="distribute"/>
                          <w:rPr>
                            <w:rFonts w:ascii="標楷體" w:eastAsia="標楷體" w:hAnsi="標楷體"/>
                            <w:spacing w:val="-18"/>
                            <w:sz w:val="22"/>
                          </w:rPr>
                        </w:pPr>
                        <w:r w:rsidRPr="001D3E74">
                          <w:rPr>
                            <w:rFonts w:ascii="標楷體" w:eastAsia="標楷體" w:hAnsi="標楷體" w:hint="eastAsia"/>
                            <w:spacing w:val="-18"/>
                            <w:sz w:val="22"/>
                          </w:rPr>
                          <w:t>□政務人員退職撫卹條例第11條</w:t>
                        </w:r>
                      </w:p>
                      <w:p w:rsidR="00CB3A2C" w:rsidRPr="001D3E74" w:rsidRDefault="00CB3A2C" w:rsidP="00CB3A2C">
                        <w:pPr>
                          <w:spacing w:line="220" w:lineRule="exact"/>
                          <w:jc w:val="distribute"/>
                          <w:rPr>
                            <w:rFonts w:ascii="標楷體" w:eastAsia="標楷體" w:hAnsi="標楷體"/>
                            <w:spacing w:val="-18"/>
                            <w:sz w:val="22"/>
                          </w:rPr>
                        </w:pPr>
                        <w:r w:rsidRPr="001D3E74">
                          <w:rPr>
                            <w:rFonts w:ascii="標楷體" w:eastAsia="標楷體" w:hAnsi="標楷體" w:hint="eastAsia"/>
                            <w:spacing w:val="-18"/>
                            <w:sz w:val="22"/>
                          </w:rPr>
                          <w:t>□ 公立學校</w:t>
                        </w:r>
                        <w:r w:rsidRPr="001D3E74">
                          <w:rPr>
                            <w:rFonts w:ascii="標楷體" w:eastAsia="標楷體" w:hAnsi="標楷體"/>
                            <w:spacing w:val="-18"/>
                            <w:sz w:val="22"/>
                          </w:rPr>
                          <w:t>教職員退休資遣撫卹條例第69條</w:t>
                        </w:r>
                      </w:p>
                      <w:p w:rsidR="00CB3A2C" w:rsidRPr="00D612A5" w:rsidRDefault="00CB3A2C" w:rsidP="00CB3A2C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CB3A2C"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上開領受人依規定將支領退撫給與，並依</w:t>
            </w:r>
          </w:p>
          <w:p w:rsidR="00CB3A2C" w:rsidRPr="00A038A8" w:rsidRDefault="00CB3A2C" w:rsidP="00CB3A2C">
            <w:pPr>
              <w:snapToGrid w:val="0"/>
              <w:spacing w:line="6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r w:rsidR="00B642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申請設立退撫給與專戶，本機關特予證明上開領受人係支領退撫給與人員，請惠予開立退撫給與專戶。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B3A2C" w:rsidRPr="00A038A8" w:rsidRDefault="00CB3A2C" w:rsidP="00CB3A2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由最後服務機關人事單位填寫</w:t>
            </w:r>
            <w:r w:rsidR="00B50FF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（存入政務人員一次給與者，由一次給與審</w:t>
            </w:r>
            <w:r w:rsidR="004D2CFF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定</w:t>
            </w:r>
            <w:r w:rsidR="00B50FF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機關填寫）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，並經機關人事主管及首長用印證明。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2.服務</w:t>
            </w:r>
            <w:r w:rsidRPr="00A038A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存款人持本申請書請暨證明書、開戶注意事項及應備證件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，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至銀行開立退撫專戶後，將存摺影本送至服務機關。</w:t>
            </w:r>
          </w:p>
          <w:p w:rsidR="00CB3A2C" w:rsidRPr="00A038A8" w:rsidRDefault="00CB3A2C" w:rsidP="00CB3A2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3.同時申請新制及舊制退撫給與專戶</w:t>
            </w:r>
            <w:r w:rsidR="00B4076C">
              <w:rPr>
                <w:rFonts w:ascii="標楷體" w:eastAsia="標楷體" w:hAnsi="標楷體" w:cs="Times New Roman" w:hint="eastAsia"/>
                <w:b/>
                <w:szCs w:val="24"/>
              </w:rPr>
              <w:t>者</w:t>
            </w:r>
            <w:r w:rsidRPr="00A038A8">
              <w:rPr>
                <w:rFonts w:ascii="標楷體" w:eastAsia="標楷體" w:hAnsi="標楷體" w:cs="Times New Roman" w:hint="eastAsia"/>
                <w:b/>
                <w:szCs w:val="24"/>
              </w:rPr>
              <w:t>，本申書請暨證明書須分別開立，作為銀行開戶保存之證明文件。</w:t>
            </w:r>
          </w:p>
        </w:tc>
      </w:tr>
    </w:tbl>
    <w:p w:rsidR="008F06ED" w:rsidRPr="00720A7D" w:rsidRDefault="00696265" w:rsidP="00696265">
      <w:pPr>
        <w:autoSpaceDE w:val="0"/>
        <w:autoSpaceDN w:val="0"/>
        <w:adjustRightInd w:val="0"/>
        <w:spacing w:beforeLines="50" w:line="400" w:lineRule="exact"/>
        <w:ind w:rightChars="-316" w:right="-758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96265">
        <w:rPr>
          <w:rFonts w:ascii="標楷體" w:eastAsia="標楷體"/>
          <w:b/>
          <w:bCs/>
          <w:noProof/>
          <w:spacing w:val="-10"/>
          <w:sz w:val="34"/>
          <w:szCs w:val="34"/>
        </w:rPr>
        <w:pict>
          <v:group id="群組 25" o:spid="_x0000_s1035" style="position:absolute;margin-left:-17.55pt;margin-top:-48.1pt;width:7in;height:68.25pt;z-index:251723776;mso-position-horizontal-relative:text;mso-position-vertical-relative:text;mso-width-relative:margin;mso-height-relative:margin" coordorigin="2857,285" coordsize="6400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">
            <v:shape id="文字方塊 26" o:spid="_x0000_s1036" type="#_x0000_t202" style="position:absolute;left:2857;top:285;width:38767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CB3A2C" w:rsidRPr="002E200B" w:rsidRDefault="008B43CE" w:rsidP="00CB3A2C">
                    <w:pPr>
                      <w:spacing w:line="340" w:lineRule="exact"/>
                      <w:rPr>
                        <w:rFonts w:ascii="標楷體" w:eastAsia="標楷體" w:hAnsi="標楷體"/>
                        <w:szCs w:val="24"/>
                      </w:rPr>
                    </w:pPr>
                    <w:r w:rsidRPr="008B43CE">
                      <w:rPr>
                        <w:rFonts w:ascii="標楷體" w:eastAsia="標楷體" w:hAnsi="標楷體" w:hint="eastAsia"/>
                        <w:szCs w:val="24"/>
                      </w:rPr>
                      <w:t>〈</w:t>
                    </w:r>
                    <w:r w:rsidR="00256259">
                      <w:rPr>
                        <w:rFonts w:ascii="標楷體" w:eastAsia="標楷體" w:hAnsi="標楷體" w:hint="eastAsia"/>
                        <w:szCs w:val="24"/>
                      </w:rPr>
                      <w:t>適用於新退休（職）人員申請</w:t>
                    </w:r>
                    <w:r>
                      <w:rPr>
                        <w:rFonts w:ascii="標楷體" w:eastAsia="標楷體" w:hAnsi="標楷體" w:hint="eastAsia"/>
                        <w:szCs w:val="24"/>
                      </w:rPr>
                      <w:t>退撫給與專戶〉</w:t>
                    </w:r>
                  </w:p>
                </w:txbxContent>
              </v:textbox>
            </v:shape>
            <v:group id="群組 27" o:spid="_x0000_s1037" style="position:absolute;left:2857;top:857;width:64008;height:8096" coordorigin="285" coordsize="64008,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文字方塊 28" o:spid="_x0000_s1038" type="#_x0000_t202" style="position:absolute;left:285;top:3238;width:8668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  <v:textbox>
                  <w:txbxContent>
                    <w:p w:rsidR="00CB3A2C" w:rsidRPr="00095167" w:rsidRDefault="00CB3A2C" w:rsidP="00CB3A2C">
                      <w:pPr>
                        <w:spacing w:line="32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</w:rPr>
                      </w:pPr>
                      <w:r w:rsidRPr="00095167"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</w:rPr>
                        <w:sym w:font="Wingdings 2" w:char="F0A3"/>
                      </w:r>
                      <w:r w:rsidRPr="000951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32"/>
                        </w:rPr>
                        <w:t>新制</w:t>
                      </w:r>
                    </w:p>
                    <w:p w:rsidR="00CB3A2C" w:rsidRPr="00095167" w:rsidRDefault="00CB3A2C" w:rsidP="00CB3A2C">
                      <w:pPr>
                        <w:spacing w:line="32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</w:rPr>
                      </w:pPr>
                      <w:r w:rsidRPr="00095167"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</w:rPr>
                        <w:sym w:font="Wingdings 2" w:char="F0A3"/>
                      </w:r>
                      <w:r w:rsidRPr="00095167">
                        <w:rPr>
                          <w:rFonts w:ascii="標楷體" w:eastAsia="標楷體" w:hAnsi="標楷體" w:hint="eastAsia"/>
                          <w:b/>
                          <w:color w:val="FF0000"/>
                          <w:sz w:val="32"/>
                        </w:rPr>
                        <w:t>舊制</w:t>
                      </w:r>
                    </w:p>
                  </w:txbxContent>
                </v:textbox>
              </v:shape>
              <v:shape id="文字方塊 29" o:spid="_x0000_s1039" type="#_x0000_t202" style="position:absolute;left:8191;top:3238;width:53721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<v:textbox>
                  <w:txbxContent>
                    <w:p w:rsidR="00CB3A2C" w:rsidRDefault="00CB3A2C" w:rsidP="00CB3A2C">
                      <w:r w:rsidRPr="0025041F">
                        <w:rPr>
                          <w:rFonts w:ascii="標楷體" w:eastAsia="標楷體" w:hAnsi="標楷體" w:hint="eastAsia"/>
                          <w:b/>
                          <w:bCs/>
                          <w:spacing w:val="-16"/>
                          <w:sz w:val="34"/>
                          <w:szCs w:val="34"/>
                        </w:rPr>
                        <w:t>退撫給與專戶申請書暨最後服務機關證明書</w:t>
                      </w:r>
                      <w:r w:rsidRPr="0025041F">
                        <w:rPr>
                          <w:rFonts w:ascii="標楷體" w:eastAsia="標楷體" w:hAnsi="標楷體" w:cs="新細明體" w:hint="eastAsia"/>
                          <w:b/>
                          <w:spacing w:val="-16"/>
                          <w:kern w:val="0"/>
                          <w:szCs w:val="24"/>
                          <w:lang w:val="zh-TW"/>
                        </w:rPr>
                        <w:t>（新、舊制請分別填寫）</w:t>
                      </w:r>
                    </w:p>
                  </w:txbxContent>
                </v:textbox>
              </v:shape>
              <v:shape id="文字方塊 30" o:spid="_x0000_s1040" type="#_x0000_t202" style="position:absolute;left:57150;width:7143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aocMA&#10;AADbAAAADwAAAGRycy9kb3ducmV2LnhtbERPTWsCMRC9F/ofwhS81Wwt2rIapRQFBRFqS+1x3Iyb&#10;pclku4nr6q83B6HHx/uezDpnRUtNqDwreOpnIIgLrysuFXx9Lh5fQYSIrNF6JgVnCjCb3t9NMNf+&#10;xB/UbmMpUgiHHBWYGOtcylAYchj6viZO3ME3DmOCTSl1g6cU7qwcZNlIOqw4NRis6d1Q8bs9OgXr&#10;793ffLH5yXa0t9WwtS9mddkr1Xvo3sYgInXxX3xzL7WC57Q+fUk/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GaocMAAADbAAAADwAAAAAAAAAAAAAAAACYAgAAZHJzL2Rv&#10;d25yZXYueG1sUEsFBgAAAAAEAAQA9QAAAIgDAAAAAA==&#10;" filled="f" strokeweight=".5pt">
                <v:textbox>
                  <w:txbxContent>
                    <w:p w:rsidR="00CB3A2C" w:rsidRPr="001D198B" w:rsidRDefault="00CB3A2C" w:rsidP="00CB3A2C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198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錄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</w:p>
    <w:sectPr w:rsidR="008F06ED" w:rsidRPr="00720A7D" w:rsidSect="00153F50">
      <w:footerReference w:type="default" r:id="rId8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92" w:rsidRDefault="00092D92" w:rsidP="00217200">
      <w:r>
        <w:separator/>
      </w:r>
    </w:p>
  </w:endnote>
  <w:endnote w:type="continuationSeparator" w:id="1">
    <w:p w:rsidR="00092D92" w:rsidRDefault="00092D92" w:rsidP="0021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872382"/>
      <w:docPartObj>
        <w:docPartGallery w:val="Page Numbers (Bottom of Page)"/>
        <w:docPartUnique/>
      </w:docPartObj>
    </w:sdtPr>
    <w:sdtContent>
      <w:p w:rsidR="000B6336" w:rsidRDefault="00696265">
        <w:pPr>
          <w:pStyle w:val="a6"/>
          <w:jc w:val="center"/>
        </w:pPr>
        <w:r>
          <w:fldChar w:fldCharType="begin"/>
        </w:r>
        <w:r w:rsidR="000B6336">
          <w:instrText>PAGE   \* MERGEFORMAT</w:instrText>
        </w:r>
        <w:r>
          <w:fldChar w:fldCharType="separate"/>
        </w:r>
        <w:r w:rsidR="00980195" w:rsidRPr="00980195">
          <w:rPr>
            <w:noProof/>
            <w:lang w:val="zh-TW"/>
          </w:rPr>
          <w:t>2</w:t>
        </w:r>
        <w:r>
          <w:fldChar w:fldCharType="end"/>
        </w:r>
      </w:p>
    </w:sdtContent>
  </w:sdt>
  <w:p w:rsidR="000B6336" w:rsidRDefault="000B63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92" w:rsidRDefault="00092D92" w:rsidP="00217200">
      <w:r>
        <w:separator/>
      </w:r>
    </w:p>
  </w:footnote>
  <w:footnote w:type="continuationSeparator" w:id="1">
    <w:p w:rsidR="00092D92" w:rsidRDefault="00092D92" w:rsidP="0021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5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FAC"/>
    <w:rsid w:val="000040FF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C1C49"/>
    <w:rsid w:val="000C2320"/>
    <w:rsid w:val="000C2E65"/>
    <w:rsid w:val="000C4169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35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3C7C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56609"/>
    <w:rsid w:val="0066240B"/>
    <w:rsid w:val="006717AB"/>
    <w:rsid w:val="00680C2E"/>
    <w:rsid w:val="006838AF"/>
    <w:rsid w:val="00690647"/>
    <w:rsid w:val="006940AF"/>
    <w:rsid w:val="00695953"/>
    <w:rsid w:val="00696265"/>
    <w:rsid w:val="00697A90"/>
    <w:rsid w:val="006A6598"/>
    <w:rsid w:val="006A7E33"/>
    <w:rsid w:val="006B047F"/>
    <w:rsid w:val="006B3AF6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4171D"/>
    <w:rsid w:val="0074578E"/>
    <w:rsid w:val="00745B6C"/>
    <w:rsid w:val="00746A49"/>
    <w:rsid w:val="00762050"/>
    <w:rsid w:val="00772B30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195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0E54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70F24"/>
    <w:rsid w:val="00D80CB6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5D581-6D89-4DB8-9AE3-10356DA88150}">
      <dsp:nvSpPr>
        <dsp:cNvPr id="0" name=""/>
        <dsp:cNvSpPr/>
      </dsp:nvSpPr>
      <dsp:spPr>
        <a:xfrm>
          <a:off x="260994" y="106300"/>
          <a:ext cx="4724387" cy="255407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b="1" u="none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1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</a:t>
          </a:r>
          <a:r>
            <a:rPr lang="zh-TW" altLang="en-US" sz="1300" b="1" u="sng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申請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改存舊制退撫給與專戶，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並由舊制退撫給與發放機關</a:t>
          </a:r>
          <a:r>
            <a:rPr lang="zh-TW" altLang="en-US" sz="1300" b="1" u="sng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開具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證明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舊制退撫給與領受人向舊制退撫給與發放機關申請後，由該機關填具舊制退撫給與改存專戶申請書暨發放機關證明書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，經申請人簽章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，並由機關人事主管及首長用印證明後，檢同舊制退撫給與專戶開戶注意事項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，交由申請人至代付銀行開立舊制退撫給與專戶。</a:t>
          </a:r>
        </a:p>
      </dsp:txBody>
      <dsp:txXfrm>
        <a:off x="335800" y="181106"/>
        <a:ext cx="2873380" cy="2404467"/>
      </dsp:txXfrm>
    </dsp:sp>
    <dsp:sp modelId="{B529A1EA-4C76-437F-9E75-3C4367632197}">
      <dsp:nvSpPr>
        <dsp:cNvPr id="0" name=""/>
        <dsp:cNvSpPr/>
      </dsp:nvSpPr>
      <dsp:spPr>
        <a:xfrm>
          <a:off x="470507" y="2798833"/>
          <a:ext cx="4815840" cy="135500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711200">
            <a:lnSpc>
              <a:spcPts val="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退撫給與領受人       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2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開立舊制退撫給與專戶並通知發放機關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just" defTabSz="711200">
            <a:lnSpc>
              <a:spcPts val="14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領受人持舊制退撫給與之發放機關所開立之證明書、開戶注意事項及應備證件，至代付銀行開立舊制退撫給與專戶後，將舊制退撫給與專戶存摺封面影本，</a:t>
          </a:r>
          <a:r>
            <a:rPr lang="zh-TW" altLang="en-US" sz="1300" kern="1200" spc="-12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送至舊</a:t>
          </a:r>
          <a:r>
            <a:rPr lang="zh-TW" altLang="en-US" sz="1300" kern="1200" spc="-12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制退撫給與之發放機關。</a:t>
          </a:r>
        </a:p>
      </dsp:txBody>
      <dsp:txXfrm>
        <a:off x="510194" y="2838520"/>
        <a:ext cx="3312945" cy="1275632"/>
      </dsp:txXfrm>
    </dsp:sp>
    <dsp:sp modelId="{F1D8BA5B-3DEE-4086-A043-5A417E27251A}">
      <dsp:nvSpPr>
        <dsp:cNvPr id="0" name=""/>
        <dsp:cNvSpPr/>
      </dsp:nvSpPr>
      <dsp:spPr>
        <a:xfrm>
          <a:off x="810168" y="4301309"/>
          <a:ext cx="4815840" cy="146933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</a:t>
          </a:r>
          <a:r>
            <a:rPr lang="zh-TW" altLang="en-US" sz="1600" b="1" kern="1200" spc="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</a:t>
          </a:r>
          <a:endParaRPr lang="en-US" altLang="zh-TW" sz="1400" b="1" kern="1200" spc="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3</a:t>
          </a:r>
          <a:r>
            <a:rPr 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.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產製入帳資料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舊制退撫給與之發放機關接獲存摺封面影本後，即登錄舊制退撫給與專戶入帳帳號，並自次期開始產製入帳清冊資訊媒體資料，</a:t>
          </a:r>
          <a:r>
            <a:rPr lang="zh-TW" altLang="en-US" sz="13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經主管機關彙整後，函送代付銀行。</a:t>
          </a:r>
          <a:endParaRPr lang="zh-TW" altLang="en-US" sz="13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853203" y="4344344"/>
        <a:ext cx="3312269" cy="1383260"/>
      </dsp:txXfrm>
    </dsp:sp>
    <dsp:sp modelId="{3830330B-5D47-4443-AF24-D249CECA9F95}">
      <dsp:nvSpPr>
        <dsp:cNvPr id="0" name=""/>
        <dsp:cNvSpPr/>
      </dsp:nvSpPr>
      <dsp:spPr>
        <a:xfrm>
          <a:off x="1203959" y="6001334"/>
          <a:ext cx="4815840" cy="118852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           代付銀行</a:t>
          </a:r>
          <a:endParaRPr lang="en-US" altLang="zh-TW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4.</a:t>
          </a:r>
          <a:r>
            <a:rPr lang="zh-TW" altLang="en-US" sz="1300" b="1" u="sng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退撫給與存入舊制退撫給與</a:t>
          </a:r>
          <a:r>
            <a:rPr lang="zh-TW" altLang="en-US" sz="13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專戶</a:t>
          </a:r>
          <a:endParaRPr lang="en-US" altLang="zh-TW" sz="1300" b="1" u="sng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按入帳清冊所列之發放日及核定代付金額，將退撫給與存入領受人之舊制退撫給與專戶。</a:t>
          </a:r>
        </a:p>
      </dsp:txBody>
      <dsp:txXfrm>
        <a:off x="1238770" y="6036145"/>
        <a:ext cx="3322697" cy="1118904"/>
      </dsp:txXfrm>
    </dsp:sp>
    <dsp:sp modelId="{8EF1D8C4-6384-429F-8FB2-EA410B87B2B6}">
      <dsp:nvSpPr>
        <dsp:cNvPr id="0" name=""/>
        <dsp:cNvSpPr/>
      </dsp:nvSpPr>
      <dsp:spPr>
        <a:xfrm>
          <a:off x="3938524" y="2286456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168068" y="2286456"/>
        <a:ext cx="561106" cy="767696"/>
      </dsp:txXfrm>
    </dsp:sp>
    <dsp:sp modelId="{774A2087-1847-47BB-AA24-3C0CBF104A9C}">
      <dsp:nvSpPr>
        <dsp:cNvPr id="0" name=""/>
        <dsp:cNvSpPr/>
      </dsp:nvSpPr>
      <dsp:spPr>
        <a:xfrm>
          <a:off x="4237607" y="3798457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67151" y="3798457"/>
        <a:ext cx="561106" cy="767696"/>
      </dsp:txXfrm>
    </dsp:sp>
    <dsp:sp modelId="{607BAF62-A73C-4DEA-A253-0453BB6092F1}">
      <dsp:nvSpPr>
        <dsp:cNvPr id="0" name=""/>
        <dsp:cNvSpPr/>
      </dsp:nvSpPr>
      <dsp:spPr>
        <a:xfrm>
          <a:off x="4567703" y="5558100"/>
          <a:ext cx="1020194" cy="1020194"/>
        </a:xfrm>
        <a:prstGeom prst="downArrow">
          <a:avLst>
            <a:gd name="adj1" fmla="val 55000"/>
            <a:gd name="adj2" fmla="val 45000"/>
          </a:avLst>
        </a:prstGeom>
        <a:solidFill>
          <a:sysClr val="window" lastClr="FFFFFF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A5A5A5"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797247" y="5558100"/>
        <a:ext cx="561106" cy="767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22C713-2666-4677-852D-6EF6AFDB54EF}">
      <dsp:nvSpPr>
        <dsp:cNvPr id="0" name=""/>
        <dsp:cNvSpPr/>
      </dsp:nvSpPr>
      <dsp:spPr>
        <a:xfrm>
          <a:off x="47616" y="0"/>
          <a:ext cx="4527725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>
            <a:rot lat="0" lon="0" rev="0"/>
          </a:lightRig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退撫給與領受人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開立舊制退撫給與專戶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just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持退撫給與專戶申請書暨最後服務機關證明書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如附錄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及本人簽名之開戶注意事項（同附錄</a:t>
          </a:r>
          <a:r>
            <a:rPr lang="en-US" altLang="zh-TW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</a:t>
          </a: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），至代付銀行開立舊制退撫給與專戶，將專戶存摺影本送至服務機關；如服務機關非屬發放機關，則由服務機關轉交發放機關。</a:t>
          </a:r>
          <a:endParaRPr lang="zh-TW" altLang="en-US" sz="1300" b="0" kern="1200"/>
        </a:p>
      </dsp:txBody>
      <dsp:txXfrm>
        <a:off x="113727" y="66111"/>
        <a:ext cx="2124977" cy="2139490"/>
      </dsp:txXfrm>
    </dsp:sp>
    <dsp:sp modelId="{F181D1F8-396A-4DFB-9FBE-0E1E2CE6CF94}">
      <dsp:nvSpPr>
        <dsp:cNvPr id="0" name=""/>
        <dsp:cNvSpPr/>
      </dsp:nvSpPr>
      <dsp:spPr>
        <a:xfrm>
          <a:off x="407908" y="2650331"/>
          <a:ext cx="4622958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舊制退撫給與發放機關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產製入帳資料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批次產製入帳清冊及資訊媒體，經主管機關彙整後，函送代付銀行。</a:t>
          </a:r>
          <a:endParaRPr lang="en-US" altLang="zh-TW" sz="1300" b="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711200">
            <a:lnSpc>
              <a:spcPts val="1200"/>
            </a:lnSpc>
            <a:spcBef>
              <a:spcPct val="0"/>
            </a:spcBef>
            <a:spcAft>
              <a:spcPct val="35000"/>
            </a:spcAft>
          </a:pPr>
          <a:endParaRPr lang="zh-TW" altLang="en-US" sz="1300" b="0" kern="1200"/>
        </a:p>
      </dsp:txBody>
      <dsp:txXfrm>
        <a:off x="474444" y="2716867"/>
        <a:ext cx="2605365" cy="2138640"/>
      </dsp:txXfrm>
    </dsp:sp>
    <dsp:sp modelId="{9100ACB4-119D-42F1-810E-3688E3863CE6}">
      <dsp:nvSpPr>
        <dsp:cNvPr id="0" name=""/>
        <dsp:cNvSpPr/>
      </dsp:nvSpPr>
      <dsp:spPr>
        <a:xfrm>
          <a:off x="815816" y="5300662"/>
          <a:ext cx="4622958" cy="2271712"/>
        </a:xfrm>
        <a:prstGeom prst="roundRect">
          <a:avLst>
            <a:gd name="adj" fmla="val 10000"/>
          </a:avLst>
        </a:prstGeom>
        <a:solidFill>
          <a:schemeClr val="bg1"/>
        </a:solidFill>
        <a:ln w="3175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 代付銀行</a:t>
          </a:r>
          <a:endParaRPr lang="en-US" altLang="zh-TW" sz="16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300" b="1" u="sng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退撫給與存入舊制退撫給與專戶</a:t>
          </a:r>
          <a:endParaRPr lang="en-US" altLang="zh-TW" sz="1300" b="1" u="sng" kern="1200" baseline="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按入帳清冊所列撥付日及核定代付金額，將退撫給與存入領受人之舊制退撫給與專戶。</a:t>
          </a:r>
        </a:p>
      </dsp:txBody>
      <dsp:txXfrm>
        <a:off x="882352" y="5367198"/>
        <a:ext cx="2605365" cy="2138640"/>
      </dsp:txXfrm>
    </dsp:sp>
    <dsp:sp modelId="{6C49BF7B-B28B-466B-9CAC-DF82B56978B5}">
      <dsp:nvSpPr>
        <dsp:cNvPr id="0" name=""/>
        <dsp:cNvSpPr/>
      </dsp:nvSpPr>
      <dsp:spPr>
        <a:xfrm>
          <a:off x="3146345" y="1722715"/>
          <a:ext cx="1476613" cy="1476613"/>
        </a:xfrm>
        <a:prstGeom prst="downArrow">
          <a:avLst>
            <a:gd name="adj1" fmla="val 55000"/>
            <a:gd name="adj2" fmla="val 45000"/>
          </a:avLst>
        </a:prstGeom>
        <a:solidFill>
          <a:schemeClr val="bg1"/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/>
        </a:p>
      </dsp:txBody>
      <dsp:txXfrm>
        <a:off x="3478583" y="1722715"/>
        <a:ext cx="812137" cy="1111151"/>
      </dsp:txXfrm>
    </dsp:sp>
    <dsp:sp modelId="{D9C3593E-FDFC-45C4-B471-9DACED812386}">
      <dsp:nvSpPr>
        <dsp:cNvPr id="0" name=""/>
        <dsp:cNvSpPr/>
      </dsp:nvSpPr>
      <dsp:spPr>
        <a:xfrm>
          <a:off x="3554253" y="4357901"/>
          <a:ext cx="1476613" cy="1476613"/>
        </a:xfrm>
        <a:prstGeom prst="downArrow">
          <a:avLst>
            <a:gd name="adj1" fmla="val 55000"/>
            <a:gd name="adj2" fmla="val 45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600" kern="1200"/>
        </a:p>
      </dsp:txBody>
      <dsp:txXfrm>
        <a:off x="3886491" y="4357901"/>
        <a:ext cx="812137" cy="1111151"/>
      </dsp:txXfrm>
    </dsp:sp>
  </dsp:spTree>
</dsp:drawing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3B86-D127-43B8-938E-59168375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Company>PSPF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陳俊榮</dc:creator>
  <cp:lastModifiedBy>user</cp:lastModifiedBy>
  <cp:revision>2</cp:revision>
  <cp:lastPrinted>2018-01-19T02:28:00Z</cp:lastPrinted>
  <dcterms:created xsi:type="dcterms:W3CDTF">2018-03-27T01:10:00Z</dcterms:created>
  <dcterms:modified xsi:type="dcterms:W3CDTF">2018-03-27T01:10:00Z</dcterms:modified>
</cp:coreProperties>
</file>